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69A04703" w:rsidR="000B3971" w:rsidRPr="00311EF8" w:rsidRDefault="004F349A"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853918" w:rsidRPr="00311EF8">
        <w:rPr>
          <w:rFonts w:asciiTheme="minorHAnsi" w:hAnsiTheme="minorHAnsi" w:cstheme="minorHAnsi"/>
          <w:b/>
          <w:bCs/>
          <w:color w:val="002060"/>
          <w:sz w:val="24"/>
          <w:szCs w:val="24"/>
          <w:lang w:val="ro-RO"/>
        </w:rPr>
        <w:t>1</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2E380C5C" w14:textId="77777777" w:rsidR="000312C6" w:rsidRPr="00311EF8" w:rsidRDefault="000312C6" w:rsidP="007A5CCB">
      <w:pPr>
        <w:pStyle w:val="Default"/>
        <w:spacing w:before="60"/>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Prezentul contract de </w:t>
      </w:r>
      <w:proofErr w:type="spellStart"/>
      <w:r w:rsidRPr="00311EF8">
        <w:rPr>
          <w:rFonts w:asciiTheme="minorHAnsi" w:hAnsiTheme="minorHAnsi" w:cstheme="minorHAnsi"/>
          <w:color w:val="002060"/>
          <w:lang w:val="ro-RO"/>
        </w:rPr>
        <w:t>finanţare</w:t>
      </w:r>
      <w:proofErr w:type="spellEnd"/>
      <w:r w:rsidRPr="00311EF8">
        <w:rPr>
          <w:rFonts w:asciiTheme="minorHAnsi" w:hAnsiTheme="minorHAnsi" w:cstheme="minorHAnsi"/>
          <w:color w:val="002060"/>
          <w:lang w:val="ro-RO"/>
        </w:rPr>
        <w:t xml:space="preserve"> stabileşte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311EF8">
      <w:pPr>
        <w:pStyle w:val="Default"/>
        <w:spacing w:before="60"/>
        <w:jc w:val="both"/>
        <w:rPr>
          <w:rFonts w:asciiTheme="minorHAnsi" w:hAnsiTheme="minorHAnsi" w:cstheme="minorHAnsi"/>
          <w:color w:val="002060"/>
          <w:lang w:val="ro-RO"/>
        </w:rPr>
      </w:pPr>
    </w:p>
    <w:p w14:paraId="232FBEC6" w14:textId="18EF1CEF" w:rsidR="0078561B" w:rsidRPr="00311EF8" w:rsidRDefault="0078561B" w:rsidP="00311EF8">
      <w:pPr>
        <w:pStyle w:val="Default"/>
        <w:spacing w:before="60"/>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0E7EF8C5" w:rsidR="00594867" w:rsidRPr="00311EF8" w:rsidRDefault="00594867"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Beneficiarul are </w:t>
      </w:r>
      <w:proofErr w:type="spellStart"/>
      <w:r w:rsidRPr="00311EF8">
        <w:rPr>
          <w:rFonts w:asciiTheme="minorHAnsi" w:hAnsiTheme="minorHAnsi" w:cstheme="minorHAnsi"/>
          <w:color w:val="002060"/>
          <w:lang w:val="ro-RO"/>
        </w:rPr>
        <w:t>obligaţia</w:t>
      </w:r>
      <w:proofErr w:type="spellEnd"/>
      <w:r w:rsidRPr="00311EF8">
        <w:rPr>
          <w:rFonts w:asciiTheme="minorHAnsi" w:hAnsiTheme="minorHAnsi" w:cstheme="minorHAnsi"/>
          <w:color w:val="002060"/>
          <w:lang w:val="ro-RO"/>
        </w:rPr>
        <w:t xml:space="preserve"> asigurării </w:t>
      </w:r>
      <w:proofErr w:type="spellStart"/>
      <w:r w:rsidRPr="00311EF8">
        <w:rPr>
          <w:rFonts w:asciiTheme="minorHAnsi" w:hAnsiTheme="minorHAnsi" w:cstheme="minorHAnsi"/>
          <w:color w:val="002060"/>
          <w:lang w:val="ro-RO"/>
        </w:rPr>
        <w:t>sustenabilităţii</w:t>
      </w:r>
      <w:proofErr w:type="spellEnd"/>
      <w:r w:rsidRPr="00311EF8">
        <w:rPr>
          <w:rFonts w:asciiTheme="minorHAnsi" w:hAnsiTheme="minorHAnsi" w:cstheme="minorHAnsi"/>
          <w:color w:val="002060"/>
          <w:lang w:val="ro-RO"/>
        </w:rPr>
        <w:t xml:space="preserve">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CD17E5">
      <w:pPr>
        <w:pStyle w:val="Listparagraf"/>
        <w:spacing w:before="60"/>
        <w:ind w:left="284" w:right="123"/>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311EF8">
      <w:pPr>
        <w:pStyle w:val="Listparagraf"/>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7777777" w:rsidR="00552640" w:rsidRPr="00311EF8" w:rsidRDefault="00552640"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1B5207F8" w:rsidR="00552640" w:rsidRPr="00311EF8" w:rsidRDefault="00552640" w:rsidP="00311EF8">
      <w:pPr>
        <w:pStyle w:val="Listparagraf"/>
        <w:spacing w:before="60"/>
        <w:ind w:right="26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implementarea proiectului, indiferent de modificările aduse bugetului, acesta va respecta procentul de 15% cheltuieli de tip FEDR.</w:t>
      </w:r>
      <w:r w:rsidRPr="00311EF8">
        <w:rPr>
          <w:rFonts w:asciiTheme="minorHAnsi" w:hAnsiTheme="minorHAnsi" w:cstheme="minorHAnsi"/>
          <w:sz w:val="24"/>
          <w:szCs w:val="24"/>
          <w:lang w:val="ro-RO"/>
        </w:rPr>
        <w:t xml:space="preserve"> </w:t>
      </w:r>
      <w:r w:rsidRPr="00311EF8">
        <w:rPr>
          <w:rFonts w:asciiTheme="minorHAnsi" w:eastAsia="Trebuchet MS" w:hAnsiTheme="minorHAnsi" w:cstheme="minorHAnsi"/>
          <w:color w:val="002060"/>
          <w:spacing w:val="-1"/>
          <w:sz w:val="24"/>
          <w:szCs w:val="24"/>
          <w:lang w:val="ro-RO"/>
        </w:rPr>
        <w:t>La depunerea cererii de rambursare finale, la nivel de proiect, cheltuieli de tip FEDR vor fi de maxim 15% din cheltuielile eligibile directe decontate. În situația în care acest procent va fi depășit, suma aferentă va fi ajustată proporțional cu depășirea plafonului de 15%</w:t>
      </w:r>
      <w:r w:rsidR="00365C43" w:rsidRPr="00311EF8">
        <w:rPr>
          <w:rFonts w:asciiTheme="minorHAnsi" w:eastAsia="Trebuchet MS" w:hAnsiTheme="minorHAnsi" w:cstheme="minorHAnsi"/>
          <w:color w:val="002060"/>
          <w:sz w:val="24"/>
          <w:szCs w:val="24"/>
          <w:lang w:val="ro-RO"/>
        </w:rPr>
        <w:t>;</w:t>
      </w:r>
    </w:p>
    <w:p w14:paraId="7E7B8A08" w14:textId="74085303" w:rsidR="00552640" w:rsidRPr="00311EF8" w:rsidRDefault="00552640"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7% din valoarea totală a cheltuielilor eligibile directe; </w:t>
      </w:r>
    </w:p>
    <w:p w14:paraId="749D67C7" w14:textId="310741FE" w:rsidR="00680F22" w:rsidRPr="00311EF8" w:rsidRDefault="00680F22"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00A1BFCC" w:rsidR="000B3971" w:rsidRPr="00311EF8" w:rsidRDefault="00AB13EF" w:rsidP="00311EF8">
      <w:pPr>
        <w:pStyle w:val="Listparagraf"/>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validării cheltuielilor, AM/OI responsabil poate solicita și verifica toate documentele  necesare, aferente cererilor de rambursare /cererilor de plată precum şi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11EF8" w:rsidRDefault="00BD0D87" w:rsidP="00311EF8">
      <w:pPr>
        <w:pStyle w:val="Listparagraf"/>
        <w:numPr>
          <w:ilvl w:val="0"/>
          <w:numId w:val="23"/>
        </w:numPr>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z w:val="24"/>
          <w:szCs w:val="24"/>
          <w:lang w:val="ro-RO"/>
        </w:rPr>
        <w:t xml:space="preserve">  contractul  de</w:t>
      </w:r>
      <w:r w:rsidRPr="00311EF8">
        <w:rPr>
          <w:rFonts w:asciiTheme="minorHAnsi" w:eastAsia="Trebuchet MS" w:hAnsiTheme="minorHAnsi" w:cstheme="minorHAnsi"/>
          <w:color w:val="002060"/>
          <w:w w:val="103"/>
          <w:sz w:val="24"/>
          <w:szCs w:val="24"/>
          <w:lang w:val="ro-RO"/>
        </w:rPr>
        <w:t xml:space="preserve">  finanțare</w:t>
      </w:r>
      <w:r w:rsidR="0097654B" w:rsidRPr="00311EF8">
        <w:rPr>
          <w:rFonts w:asciiTheme="minorHAnsi" w:eastAsia="Trebuchet MS" w:hAnsiTheme="minorHAnsi" w:cstheme="minorHAnsi"/>
          <w:color w:val="002060"/>
          <w:w w:val="103"/>
          <w:sz w:val="24"/>
          <w:szCs w:val="24"/>
          <w:lang w:val="ro-RO"/>
        </w:rPr>
        <w:t xml:space="preserve"> </w:t>
      </w:r>
      <w:r w:rsidR="00453BCB" w:rsidRPr="00311EF8">
        <w:rPr>
          <w:rFonts w:asciiTheme="minorHAnsi" w:eastAsia="Trebuchet MS" w:hAnsiTheme="minorHAnsi" w:cstheme="minorHAnsi"/>
          <w:color w:val="002060"/>
          <w:w w:val="103"/>
          <w:sz w:val="24"/>
          <w:szCs w:val="24"/>
          <w:lang w:val="ro-RO"/>
        </w:rPr>
        <w:t>– condiții generale</w:t>
      </w:r>
      <w:r w:rsidRPr="00311EF8">
        <w:rPr>
          <w:rFonts w:asciiTheme="minorHAnsi" w:eastAsia="Trebuchet MS" w:hAnsiTheme="minorHAnsi" w:cstheme="minorHAnsi"/>
          <w:color w:val="002060"/>
          <w:w w:val="103"/>
          <w:sz w:val="24"/>
          <w:szCs w:val="24"/>
          <w:lang w:val="ro-RO"/>
        </w:rPr>
        <w:t xml:space="preserve">  la  art.</w:t>
      </w:r>
      <w:r w:rsidR="00453BCB"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3.  Diminuarea finanțării acordate în </w:t>
      </w:r>
      <w:r w:rsidRPr="00311EF8">
        <w:rPr>
          <w:rFonts w:asciiTheme="minorHAnsi" w:eastAsia="Trebuchet MS" w:hAnsiTheme="minorHAnsi" w:cstheme="minorHAnsi"/>
          <w:color w:val="002060"/>
          <w:w w:val="103"/>
          <w:sz w:val="24"/>
          <w:szCs w:val="24"/>
          <w:lang w:val="ro-RO"/>
        </w:rPr>
        <w:lastRenderedPageBreak/>
        <w:t>funcție de gradul de realizare a indicatorilor se va realiza în conformitate cu metodologia stabilită la nivelul AM</w:t>
      </w:r>
      <w:r w:rsidR="0097654B" w:rsidRPr="00311EF8">
        <w:rPr>
          <w:rFonts w:asciiTheme="minorHAnsi" w:eastAsia="Trebuchet MS" w:hAnsiTheme="minorHAnsi" w:cstheme="minorHAnsi"/>
          <w:color w:val="002060"/>
          <w:w w:val="103"/>
          <w:sz w:val="24"/>
          <w:szCs w:val="24"/>
          <w:lang w:val="ro-RO"/>
        </w:rPr>
        <w:t>.</w:t>
      </w:r>
    </w:p>
    <w:p w14:paraId="7ADEB054" w14:textId="77777777" w:rsidR="00311EF8" w:rsidRDefault="00311EF8" w:rsidP="00311EF8">
      <w:pPr>
        <w:spacing w:before="60"/>
        <w:ind w:right="2999"/>
        <w:jc w:val="both"/>
        <w:rPr>
          <w:rFonts w:asciiTheme="minorHAnsi" w:eastAsia="Trebuchet MS" w:hAnsiTheme="minorHAnsi" w:cstheme="minorHAnsi"/>
          <w:b/>
          <w:bCs/>
          <w:color w:val="002060"/>
          <w:sz w:val="24"/>
          <w:szCs w:val="24"/>
          <w:lang w:val="ro-RO"/>
        </w:rPr>
      </w:pPr>
    </w:p>
    <w:p w14:paraId="64663E58" w14:textId="53A05F92" w:rsidR="00A10484" w:rsidRPr="00311EF8" w:rsidRDefault="00A10484"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311EF8">
      <w:pPr>
        <w:pStyle w:val="Listparagraf"/>
        <w:numPr>
          <w:ilvl w:val="0"/>
          <w:numId w:val="25"/>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0301F">
      <w:pPr>
        <w:spacing w:before="60"/>
        <w:ind w:right="265"/>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D41A2AE" w:rsidR="00A10484" w:rsidRPr="00311EF8" w:rsidRDefault="00A10484" w:rsidP="00311EF8">
      <w:pPr>
        <w:pStyle w:val="Listparagraf"/>
        <w:numPr>
          <w:ilvl w:val="0"/>
          <w:numId w:val="27"/>
        </w:numPr>
        <w:spacing w:before="60"/>
        <w:ind w:right="9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proofErr w:type="spellStart"/>
      <w:r w:rsidRPr="00311EF8">
        <w:rPr>
          <w:rFonts w:asciiTheme="minorHAnsi" w:eastAsia="Trebuchet MS" w:hAnsiTheme="minorHAnsi" w:cstheme="minorHAnsi"/>
          <w:color w:val="002060"/>
          <w:w w:val="103"/>
          <w:sz w:val="24"/>
          <w:szCs w:val="24"/>
          <w:lang w:val="ro-RO"/>
        </w:rPr>
        <w:t>finanţare</w:t>
      </w:r>
      <w:proofErr w:type="spellEnd"/>
      <w:r w:rsidRPr="00311EF8">
        <w:rPr>
          <w:rFonts w:asciiTheme="minorHAnsi" w:eastAsia="Trebuchet MS" w:hAnsiTheme="minorHAnsi" w:cstheme="minorHAnsi"/>
          <w:color w:val="002060"/>
          <w:w w:val="103"/>
          <w:sz w:val="24"/>
          <w:szCs w:val="24"/>
          <w:lang w:val="ro-RO"/>
        </w:rPr>
        <w:t>.</w:t>
      </w:r>
    </w:p>
    <w:p w14:paraId="6BB51179" w14:textId="3CC9447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proofErr w:type="spellEnd"/>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7A5CCB">
      <w:pPr>
        <w:spacing w:before="60"/>
        <w:ind w:left="133" w:right="235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Denumire/adresa Trezoreriei/Băncii Comerciale:</w:t>
      </w:r>
    </w:p>
    <w:p w14:paraId="33CD28E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00F68F6E"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 xml:space="preserve">privind acordarea </w:t>
      </w:r>
      <w:proofErr w:type="spellStart"/>
      <w:r w:rsidRPr="00311EF8">
        <w:rPr>
          <w:rFonts w:asciiTheme="minorHAnsi" w:eastAsia="Trebuchet MS" w:hAnsiTheme="minorHAnsi" w:cstheme="minorHAnsi"/>
          <w:color w:val="002060"/>
          <w:sz w:val="24"/>
          <w:szCs w:val="24"/>
          <w:lang w:val="ro-RO"/>
        </w:rPr>
        <w:t>tranşelor</w:t>
      </w:r>
      <w:proofErr w:type="spellEnd"/>
      <w:r w:rsidRPr="00311EF8">
        <w:rPr>
          <w:rFonts w:asciiTheme="minorHAnsi" w:eastAsia="Trebuchet MS" w:hAnsiTheme="minorHAnsi" w:cstheme="minorHAnsi"/>
          <w:color w:val="002060"/>
          <w:sz w:val="24"/>
          <w:szCs w:val="24"/>
          <w:lang w:val="ro-RO"/>
        </w:rPr>
        <w:t xml:space="preserve"> de prefinanţare, cu excepţia primei tranşe de prefinanţare acordate conform alin. (1), se acordă cu deducerea sumelor nejustificate din tranşa anterior acordată.</w:t>
      </w:r>
    </w:p>
    <w:p w14:paraId="4311BD6A" w14:textId="61BFA38E"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beneficiarul/liderul  de parteneriat nu depune cerere/cereri de rambursare în termenul prevăzut la alin.(5), AM poate recupera întreaga sumă acordată ca tranşă de prefinanţare şi nejustificată şi poate propune rezilierea Contractului de </w:t>
      </w:r>
      <w:proofErr w:type="spellStart"/>
      <w:r w:rsidRPr="00311EF8">
        <w:rPr>
          <w:rFonts w:asciiTheme="minorHAnsi" w:eastAsia="Trebuchet MS" w:hAnsiTheme="minorHAnsi" w:cstheme="minorHAnsi"/>
          <w:color w:val="002060"/>
          <w:sz w:val="24"/>
          <w:szCs w:val="24"/>
          <w:lang w:val="ro-RO"/>
        </w:rPr>
        <w:t>Finanţare</w:t>
      </w:r>
      <w:proofErr w:type="spellEnd"/>
      <w:r w:rsidRPr="00311EF8">
        <w:rPr>
          <w:rFonts w:asciiTheme="minorHAnsi" w:eastAsia="Trebuchet MS" w:hAnsiTheme="minorHAnsi" w:cstheme="minorHAnsi"/>
          <w:color w:val="002060"/>
          <w:sz w:val="24"/>
          <w:szCs w:val="24"/>
          <w:lang w:val="ro-RO"/>
        </w:rPr>
        <w:t>.</w:t>
      </w:r>
    </w:p>
    <w:p w14:paraId="052637AE" w14:textId="77777777" w:rsid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proofErr w:type="spellEnd"/>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77777777"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13) Introducerea </w:t>
      </w:r>
      <w:proofErr w:type="spellStart"/>
      <w:r w:rsidRPr="00311EF8">
        <w:rPr>
          <w:rFonts w:asciiTheme="minorHAnsi" w:eastAsia="Trebuchet MS" w:hAnsiTheme="minorHAnsi" w:cstheme="minorHAnsi"/>
          <w:color w:val="002060"/>
          <w:spacing w:val="-3"/>
          <w:sz w:val="24"/>
          <w:szCs w:val="24"/>
          <w:lang w:val="ro-RO"/>
        </w:rPr>
        <w:t>contestaţiei</w:t>
      </w:r>
      <w:proofErr w:type="spellEnd"/>
      <w:r w:rsidRPr="00311EF8">
        <w:rPr>
          <w:rFonts w:asciiTheme="minorHAnsi" w:eastAsia="Trebuchet MS" w:hAnsiTheme="minorHAnsi" w:cstheme="minorHAnsi"/>
          <w:color w:val="002060"/>
          <w:spacing w:val="-3"/>
          <w:sz w:val="24"/>
          <w:szCs w:val="24"/>
          <w:lang w:val="ro-RO"/>
        </w:rPr>
        <w:t xml:space="preserve"> nu suspendă executarea titlului de creanţă.</w:t>
      </w:r>
    </w:p>
    <w:p w14:paraId="7110076B" w14:textId="33DBA9A4"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lastRenderedPageBreak/>
        <w:t xml:space="preserve">Debitorul are </w:t>
      </w:r>
      <w:proofErr w:type="spellStart"/>
      <w:r w:rsidRPr="00311EF8">
        <w:rPr>
          <w:rFonts w:asciiTheme="minorHAnsi" w:eastAsia="Trebuchet MS" w:hAnsiTheme="minorHAnsi" w:cstheme="minorHAnsi"/>
          <w:color w:val="002060"/>
          <w:spacing w:val="-3"/>
          <w:sz w:val="24"/>
          <w:szCs w:val="24"/>
          <w:lang w:val="ro-RO"/>
        </w:rPr>
        <w:t>obligaţia</w:t>
      </w:r>
      <w:proofErr w:type="spellEnd"/>
      <w:r w:rsidRPr="00311EF8">
        <w:rPr>
          <w:rFonts w:asciiTheme="minorHAnsi" w:eastAsia="Trebuchet MS" w:hAnsiTheme="minorHAnsi" w:cstheme="minorHAnsi"/>
          <w:color w:val="002060"/>
          <w:spacing w:val="-3"/>
          <w:sz w:val="24"/>
          <w:szCs w:val="24"/>
          <w:lang w:val="ro-RO"/>
        </w:rPr>
        <w:t xml:space="preserve"> efectuării plăţii sumelor stabilite prin decizia de recuperare a prefinanţării, în termen de 30 de zile de la data comunicării acesteia.</w:t>
      </w:r>
    </w:p>
    <w:p w14:paraId="0EF98325" w14:textId="7070FE70"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Titlul de </w:t>
      </w:r>
      <w:proofErr w:type="spellStart"/>
      <w:r w:rsidRPr="00311EF8">
        <w:rPr>
          <w:rFonts w:asciiTheme="minorHAnsi" w:eastAsia="Trebuchet MS" w:hAnsiTheme="minorHAnsi" w:cstheme="minorHAnsi"/>
          <w:color w:val="002060"/>
          <w:spacing w:val="-3"/>
          <w:sz w:val="24"/>
          <w:szCs w:val="24"/>
          <w:lang w:val="ro-RO"/>
        </w:rPr>
        <w:t>creanţă</w:t>
      </w:r>
      <w:proofErr w:type="spellEnd"/>
      <w:r w:rsidRPr="00311EF8">
        <w:rPr>
          <w:rFonts w:asciiTheme="minorHAnsi" w:eastAsia="Trebuchet MS" w:hAnsiTheme="minorHAnsi" w:cstheme="minorHAnsi"/>
          <w:color w:val="002060"/>
          <w:spacing w:val="-3"/>
          <w:sz w:val="24"/>
          <w:szCs w:val="24"/>
          <w:lang w:val="ro-RO"/>
        </w:rPr>
        <w:t xml:space="preserve"> constituie titlu executoriu la împlinirea termenului </w:t>
      </w:r>
    </w:p>
    <w:p w14:paraId="1528CBE1" w14:textId="39DE09A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Sumele primite ca </w:t>
      </w:r>
      <w:proofErr w:type="spellStart"/>
      <w:r w:rsidRPr="00311EF8">
        <w:rPr>
          <w:rFonts w:asciiTheme="minorHAnsi" w:eastAsia="Trebuchet MS" w:hAnsiTheme="minorHAnsi" w:cstheme="minorHAnsi"/>
          <w:color w:val="002060"/>
          <w:spacing w:val="-3"/>
          <w:sz w:val="24"/>
          <w:szCs w:val="24"/>
          <w:lang w:val="ro-RO"/>
        </w:rPr>
        <w:t>prefinanţare</w:t>
      </w:r>
      <w:proofErr w:type="spellEnd"/>
      <w:r w:rsidRPr="00311EF8">
        <w:rPr>
          <w:rFonts w:asciiTheme="minorHAnsi" w:eastAsia="Trebuchet MS" w:hAnsiTheme="minorHAnsi" w:cstheme="minorHAnsi"/>
          <w:color w:val="002060"/>
          <w:spacing w:val="-3"/>
          <w:sz w:val="24"/>
          <w:szCs w:val="24"/>
          <w:lang w:val="ro-RO"/>
        </w:rPr>
        <w:t>,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în care beneficiarul/liderul de parteneriat/partenerii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proofErr w:type="spellStart"/>
      <w:r w:rsidRPr="00311EF8">
        <w:rPr>
          <w:rFonts w:asciiTheme="minorHAnsi" w:eastAsia="Trebuchet MS" w:hAnsiTheme="minorHAnsi" w:cstheme="minorHAnsi"/>
          <w:color w:val="002060"/>
          <w:spacing w:val="-3"/>
          <w:sz w:val="24"/>
          <w:szCs w:val="24"/>
          <w:lang w:val="ro-RO"/>
        </w:rPr>
        <w:lastRenderedPageBreak/>
        <w:t>Prefinanţarea</w:t>
      </w:r>
      <w:proofErr w:type="spellEnd"/>
      <w:r w:rsidRPr="00311EF8">
        <w:rPr>
          <w:rFonts w:asciiTheme="minorHAnsi" w:eastAsia="Trebuchet MS" w:hAnsiTheme="minorHAnsi" w:cstheme="minorHAnsi"/>
          <w:color w:val="002060"/>
          <w:spacing w:val="-3"/>
          <w:sz w:val="24"/>
          <w:szCs w:val="24"/>
          <w:lang w:val="ro-RO"/>
        </w:rPr>
        <w:t xml:space="preserve">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7A5CCB">
      <w:pPr>
        <w:spacing w:before="60"/>
        <w:ind w:left="133" w:right="196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6950342"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311EF8">
        <w:rPr>
          <w:rFonts w:asciiTheme="minorHAnsi" w:eastAsia="Trebuchet MS" w:hAnsiTheme="minorHAnsi" w:cstheme="minorHAnsi"/>
          <w:color w:val="002060"/>
          <w:spacing w:val="-1"/>
          <w:w w:val="103"/>
          <w:sz w:val="24"/>
          <w:szCs w:val="24"/>
          <w:lang w:val="ro-RO"/>
        </w:rPr>
        <w:t>.</w:t>
      </w:r>
    </w:p>
    <w:p w14:paraId="0DDD1A01" w14:textId="2BE398D4" w:rsidR="00A10484" w:rsidRPr="00311EF8" w:rsidRDefault="00A10484" w:rsidP="00311EF8">
      <w:pPr>
        <w:pStyle w:val="Listparagraf"/>
        <w:numPr>
          <w:ilvl w:val="0"/>
          <w:numId w:val="29"/>
        </w:numPr>
        <w:spacing w:before="60"/>
        <w:ind w:right="106"/>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proofErr w:type="spellStart"/>
      <w:r w:rsidRPr="00311EF8">
        <w:rPr>
          <w:rFonts w:asciiTheme="minorHAnsi" w:eastAsia="Trebuchet MS" w:hAnsiTheme="minorHAnsi" w:cstheme="minorHAnsi"/>
          <w:color w:val="002060"/>
          <w:sz w:val="24"/>
          <w:szCs w:val="24"/>
          <w:lang w:val="ro-RO"/>
        </w:rPr>
        <w:t>excepţie</w:t>
      </w:r>
      <w:proofErr w:type="spellEnd"/>
      <w:r w:rsidRPr="00311EF8">
        <w:rPr>
          <w:rFonts w:asciiTheme="minorHAnsi" w:eastAsia="Trebuchet MS" w:hAnsiTheme="minorHAnsi" w:cstheme="minorHAnsi"/>
          <w:color w:val="002060"/>
          <w:sz w:val="24"/>
          <w:szCs w:val="24"/>
          <w:lang w:val="ro-RO"/>
        </w:rPr>
        <w:t xml:space="preserv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311EF8">
      <w:pPr>
        <w:pStyle w:val="Listparagraf"/>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proofErr w:type="spellEnd"/>
      <w:r w:rsidRPr="00311EF8">
        <w:rPr>
          <w:rFonts w:asciiTheme="minorHAnsi" w:eastAsia="Trebuchet MS" w:hAnsiTheme="minorHAnsi" w:cstheme="minorHAnsi"/>
          <w:color w:val="002060"/>
          <w:spacing w:val="26"/>
          <w:sz w:val="24"/>
          <w:szCs w:val="24"/>
          <w:lang w:val="ro-RO"/>
        </w:rPr>
        <w:t xml:space="preserve"> </w:t>
      </w:r>
      <w:proofErr w:type="spellStart"/>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proofErr w:type="spellEnd"/>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lastRenderedPageBreak/>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311EF8">
      <w:pPr>
        <w:pStyle w:val="Listparagraf"/>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Cont pentru cerere de rambursare</w:t>
      </w:r>
    </w:p>
    <w:p w14:paraId="1F91227E"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69F89167"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rambursare aferentă cererii de de plată.</w:t>
      </w:r>
    </w:p>
    <w:p w14:paraId="382C5386" w14:textId="3EB7B4D7"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Beneficiarul proiectului are obligația să ţină o evidenţă contabilă distinctă pentru proiect, folosind conturi analitice dedicate.</w:t>
      </w:r>
    </w:p>
    <w:p w14:paraId="178D1872" w14:textId="28A1704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w:t>
      </w:r>
      <w:proofErr w:type="spellStart"/>
      <w:r w:rsidRPr="00311EF8">
        <w:rPr>
          <w:rFonts w:asciiTheme="minorHAnsi" w:eastAsia="Trebuchet MS" w:hAnsiTheme="minorHAnsi" w:cstheme="minorHAnsi"/>
          <w:color w:val="002060"/>
          <w:sz w:val="24"/>
          <w:szCs w:val="24"/>
          <w:lang w:val="ro-RO"/>
        </w:rPr>
        <w:t>instituţie</w:t>
      </w:r>
      <w:proofErr w:type="spellEnd"/>
      <w:r w:rsidRPr="00311EF8">
        <w:rPr>
          <w:rFonts w:asciiTheme="minorHAnsi" w:eastAsia="Trebuchet MS" w:hAnsiTheme="minorHAnsi" w:cstheme="minorHAnsi"/>
          <w:color w:val="002060"/>
          <w:sz w:val="24"/>
          <w:szCs w:val="24"/>
          <w:lang w:val="ro-RO"/>
        </w:rPr>
        <w:t xml:space="preserve"> publică </w:t>
      </w:r>
      <w:proofErr w:type="spellStart"/>
      <w:r w:rsidRPr="00311EF8">
        <w:rPr>
          <w:rFonts w:asciiTheme="minorHAnsi" w:eastAsia="Trebuchet MS" w:hAnsiTheme="minorHAnsi" w:cstheme="minorHAnsi"/>
          <w:color w:val="002060"/>
          <w:sz w:val="24"/>
          <w:szCs w:val="24"/>
          <w:lang w:val="ro-RO"/>
        </w:rPr>
        <w:t>finanţată</w:t>
      </w:r>
      <w:proofErr w:type="spellEnd"/>
      <w:r w:rsidRPr="00311EF8">
        <w:rPr>
          <w:rFonts w:asciiTheme="minorHAnsi" w:eastAsia="Trebuchet MS" w:hAnsiTheme="minorHAnsi" w:cstheme="minorHAnsi"/>
          <w:color w:val="002060"/>
          <w:sz w:val="24"/>
          <w:szCs w:val="24"/>
          <w:lang w:val="ro-RO"/>
        </w:rPr>
        <w:t xml:space="preserve">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înregistrează în conturi în afara bilanţului rambursările de cheltuieli aferente fondurilor europene, pe baza notificărilor primite de la AM conform alin. (2).</w:t>
      </w:r>
    </w:p>
    <w:p w14:paraId="1AEF7BF2" w14:textId="545C206A"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De asemenea, conform 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7A5CCB">
      <w:pPr>
        <w:spacing w:before="60"/>
        <w:ind w:left="133" w:right="223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0774D619"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e 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lastRenderedPageBreak/>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37981CB4"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(7)</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6E89A05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(8)</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76C4FF5E"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(9)</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a) ordine de plată întocmite distinct pe fiecare element prevăzut la alin. (6) lit. c), respectiv alin. (7) lit. c) - e)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6CE6638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b) ordine de plată întocmite distinct pe fiecare element prevăzut la alin. (6) lit. d)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829/2022,pentru suma achitată din contribuţia proprie.</w:t>
      </w:r>
    </w:p>
    <w:p w14:paraId="1F59C274"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(10) Operaţiunile prevăzute la alin. (9) se efectuează de către beneficiar/lider de parteneriat/partener în termen de maximum 5 zile lucrătoare de la încasarea sumelor în contul prevăzut la alin. (6) şi (5).</w:t>
      </w:r>
    </w:p>
    <w:p w14:paraId="5185A92B"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(11) Sumele virate beneficiarului/liderului de parteneriat/partenerilor pe baza cererilor de plată nu pot fi utilizate pentru o altă destinaţie decât cea pentru care au fost acordate.</w:t>
      </w:r>
    </w:p>
    <w:p w14:paraId="0FB7A5F9" w14:textId="389B44C1"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7A8A84E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(13) În termen de maximum 10 zile lucrătoare de la data încasării sumelor virate de către AM conform alin. (6), beneficiarul are obligaţia de a depune cererea de rambursare aferentă cererii 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68D8C20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(14) 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5E97CDBF"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(15) Beneficiarul/liderul de parteneriat/partenerul este responsabili de utilizarea sumelor potrivit destinaţiilor, precum şi de restituirea fondurilor virate în cazul în care nu justifică utilizarea lor.</w:t>
      </w:r>
    </w:p>
    <w:p w14:paraId="17151161" w14:textId="227DC5E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(16)  Pentru sumele virate şi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6E420242"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(17) Nerespectarea prevederilor alin. (13) de către beneficiar/lider de parteneriat/parteneri constituie încălcarea contractului/ordinului/deciziei de finanţare, AM/OI putând decide rezilierea acestuia.</w:t>
      </w:r>
    </w:p>
    <w:p w14:paraId="5A180E25" w14:textId="26BB112F"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(18) 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718F0ED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(19)  Din valoarea cererii de rambursare aferentă cererii de plată se deduc sumele virate pe baza cererii de plată.</w:t>
      </w:r>
    </w:p>
    <w:p w14:paraId="1DACA2F1" w14:textId="78667D5C"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(20) 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(21) Termenul de restituire a sumelor prevăzute la alin. (20) şi la alin. (14) nu poate depăşi 5 zile de la data primirii notificărilor prevăzute la alin. (16) şi (18).</w:t>
      </w:r>
    </w:p>
    <w:p w14:paraId="5B760060" w14:textId="42593F8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(22) 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311EF8">
      <w:pPr>
        <w:pStyle w:val="Listparagraf"/>
        <w:numPr>
          <w:ilvl w:val="0"/>
          <w:numId w:val="32"/>
        </w:numPr>
        <w:spacing w:before="60"/>
        <w:ind w:right="104"/>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w:t>
      </w:r>
      <w:proofErr w:type="spellStart"/>
      <w:r w:rsidRPr="00311EF8">
        <w:rPr>
          <w:rFonts w:asciiTheme="minorHAnsi" w:eastAsia="Trebuchet MS" w:hAnsiTheme="minorHAnsi" w:cstheme="minorHAnsi"/>
          <w:color w:val="002060"/>
          <w:spacing w:val="1"/>
          <w:sz w:val="24"/>
          <w:szCs w:val="24"/>
          <w:lang w:val="ro-RO"/>
        </w:rPr>
        <w:t>prefinanțare</w:t>
      </w:r>
      <w:proofErr w:type="spellEnd"/>
      <w:r w:rsidRPr="00311EF8">
        <w:rPr>
          <w:rFonts w:asciiTheme="minorHAnsi" w:eastAsia="Trebuchet MS" w:hAnsiTheme="minorHAnsi" w:cstheme="minorHAnsi"/>
          <w:color w:val="002060"/>
          <w:spacing w:val="1"/>
          <w:sz w:val="24"/>
          <w:szCs w:val="24"/>
          <w:lang w:val="ro-RO"/>
        </w:rPr>
        <w:t xml:space="preserv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311EF8">
      <w:pPr>
        <w:pStyle w:val="Listparagraf"/>
        <w:numPr>
          <w:ilvl w:val="0"/>
          <w:numId w:val="32"/>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7A5CCB">
      <w:pPr>
        <w:spacing w:before="60"/>
        <w:ind w:left="133" w:right="40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311EF8">
      <w:pPr>
        <w:pStyle w:val="Listparagraf"/>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5B27C4D8" w:rsidR="000B3971" w:rsidRPr="00311EF8" w:rsidRDefault="00A10484" w:rsidP="00311EF8">
      <w:pPr>
        <w:pStyle w:val="Listparagraf"/>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7A5CCB">
      <w:pPr>
        <w:spacing w:before="60"/>
        <w:ind w:right="105"/>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In completarea prevederilor art. 7  din Contractul de finanțare – Condiţii Generale, vor fi luate în considerare următoarele prevederi:</w:t>
      </w:r>
    </w:p>
    <w:p w14:paraId="20B2F1FC" w14:textId="082E43DB" w:rsidR="00D3371E" w:rsidRPr="00311EF8" w:rsidRDefault="0099349E"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8D20364" w14:textId="370E3B6A" w:rsidR="00EC112B" w:rsidRPr="00311EF8" w:rsidRDefault="00D3371E"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Beneficiarul/Liderul de parteneriat/partenerii </w:t>
      </w:r>
      <w:proofErr w:type="spellStart"/>
      <w:r w:rsidRPr="00311EF8">
        <w:rPr>
          <w:rFonts w:asciiTheme="minorHAnsi" w:eastAsia="Trebuchet MS" w:hAnsiTheme="minorHAnsi" w:cstheme="minorHAnsi"/>
          <w:color w:val="002060"/>
          <w:sz w:val="24"/>
          <w:szCs w:val="24"/>
          <w:lang w:val="ro-RO"/>
        </w:rPr>
        <w:t>îşi</w:t>
      </w:r>
      <w:proofErr w:type="spellEnd"/>
      <w:r w:rsidRPr="00311EF8">
        <w:rPr>
          <w:rFonts w:asciiTheme="minorHAnsi" w:eastAsia="Trebuchet MS" w:hAnsiTheme="minorHAnsi" w:cstheme="minorHAnsi"/>
          <w:color w:val="002060"/>
          <w:sz w:val="24"/>
          <w:szCs w:val="24"/>
          <w:lang w:val="ro-RO"/>
        </w:rPr>
        <w:t xml:space="preserve"> asumă obligaţia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5546964" w:rsidR="001672E7" w:rsidRPr="00311EF8" w:rsidRDefault="001672E7"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are </w:t>
      </w:r>
      <w:proofErr w:type="spellStart"/>
      <w:r w:rsidRPr="00311EF8">
        <w:rPr>
          <w:rFonts w:asciiTheme="minorHAnsi" w:eastAsia="Trebuchet MS" w:hAnsiTheme="minorHAnsi" w:cstheme="minorHAnsi"/>
          <w:color w:val="002060"/>
          <w:sz w:val="24"/>
          <w:szCs w:val="24"/>
          <w:lang w:val="ro-RO"/>
        </w:rPr>
        <w:t>obligaţia</w:t>
      </w:r>
      <w:proofErr w:type="spellEnd"/>
      <w:r w:rsidRPr="00311EF8">
        <w:rPr>
          <w:rFonts w:asciiTheme="minorHAnsi" w:eastAsia="Trebuchet MS" w:hAnsiTheme="minorHAnsi" w:cstheme="minorHAnsi"/>
          <w:color w:val="002060"/>
          <w:sz w:val="24"/>
          <w:szCs w:val="24"/>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311EF8" w:rsidRDefault="00D3371E" w:rsidP="00311EF8">
      <w:pPr>
        <w:spacing w:before="60"/>
        <w:jc w:val="both"/>
        <w:rPr>
          <w:rFonts w:asciiTheme="minorHAnsi" w:hAnsiTheme="minorHAnsi" w:cstheme="minorHAnsi"/>
          <w:color w:val="002060"/>
          <w:sz w:val="24"/>
          <w:szCs w:val="24"/>
          <w:lang w:val="ro-RO"/>
        </w:rPr>
      </w:pPr>
    </w:p>
    <w:p w14:paraId="2763E3D3" w14:textId="77FE9AFA" w:rsidR="00073D70" w:rsidRPr="00311EF8" w:rsidRDefault="00073D70" w:rsidP="00311EF8">
      <w:pPr>
        <w:shd w:val="clear" w:color="auto" w:fill="FFFFFF"/>
        <w:spacing w:before="60"/>
        <w:jc w:val="both"/>
        <w:rPr>
          <w:rFonts w:asciiTheme="minorHAnsi" w:hAnsiTheme="minorHAnsi" w:cstheme="minorHAnsi"/>
          <w:color w:val="002060"/>
          <w:sz w:val="24"/>
          <w:szCs w:val="24"/>
          <w:lang w:val="ro-RO"/>
        </w:rPr>
        <w:sectPr w:rsidR="00073D70" w:rsidRPr="00311EF8" w:rsidSect="00AE6531">
          <w:headerReference w:type="default" r:id="rId8"/>
          <w:footerReference w:type="default" r:id="rId9"/>
          <w:pgSz w:w="12240" w:h="15840"/>
          <w:pgMar w:top="1418" w:right="758" w:bottom="280" w:left="1720" w:header="426" w:footer="1134" w:gutter="0"/>
          <w:cols w:space="720"/>
          <w:docGrid w:linePitch="272"/>
        </w:sectPr>
      </w:pPr>
    </w:p>
    <w:p w14:paraId="69B72D1A" w14:textId="09E3C52F" w:rsidR="00D3130B" w:rsidRPr="00311EF8" w:rsidRDefault="0099349E" w:rsidP="007A5CCB">
      <w:pPr>
        <w:spacing w:before="60"/>
        <w:ind w:right="157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5</w:t>
      </w:r>
      <w:r w:rsidR="00B07761" w:rsidRPr="00311EF8">
        <w:rPr>
          <w:rFonts w:asciiTheme="minorHAnsi" w:eastAsia="Trebuchet MS" w:hAnsiTheme="minorHAnsi" w:cstheme="minorHAnsi"/>
          <w:b/>
          <w:color w:val="002060"/>
          <w:sz w:val="24"/>
          <w:szCs w:val="24"/>
          <w:lang w:val="ro-RO"/>
        </w:rPr>
        <w:t xml:space="preserve"> </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Modificarea</w:t>
      </w:r>
      <w:r w:rsidRPr="00311EF8">
        <w:rPr>
          <w:rFonts w:asciiTheme="minorHAnsi" w:eastAsia="Trebuchet MS" w:hAnsiTheme="minorHAnsi" w:cstheme="minorHAnsi"/>
          <w:b/>
          <w:color w:val="002060"/>
          <w:spacing w:val="35"/>
          <w:sz w:val="24"/>
          <w:szCs w:val="24"/>
          <w:lang w:val="ro-RO"/>
        </w:rPr>
        <w:t xml:space="preserve"> </w:t>
      </w:r>
      <w:r w:rsidRPr="00311EF8">
        <w:rPr>
          <w:rFonts w:asciiTheme="minorHAnsi" w:eastAsia="Trebuchet MS" w:hAnsiTheme="minorHAnsi" w:cstheme="minorHAnsi"/>
          <w:b/>
          <w:color w:val="002060"/>
          <w:sz w:val="24"/>
          <w:szCs w:val="24"/>
          <w:lang w:val="ro-RO"/>
        </w:rPr>
        <w:t>Contractului</w:t>
      </w:r>
      <w:r w:rsidRPr="00311EF8">
        <w:rPr>
          <w:rFonts w:asciiTheme="minorHAnsi" w:eastAsia="Trebuchet MS" w:hAnsiTheme="minorHAnsi" w:cstheme="minorHAnsi"/>
          <w:b/>
          <w:color w:val="002060"/>
          <w:spacing w:val="3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Fina</w:t>
      </w:r>
      <w:r w:rsidRPr="00311EF8">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7A5CCB">
      <w:pPr>
        <w:pStyle w:val="Listparagraf"/>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777D0485" w14:textId="77777777" w:rsidR="002F0A3D" w:rsidRPr="00311EF8"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311EF8" w:rsidRDefault="002F0A3D" w:rsidP="007A5CCB">
      <w:pPr>
        <w:pStyle w:val="Default"/>
        <w:numPr>
          <w:ilvl w:val="0"/>
          <w:numId w:val="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7A5CCB">
      <w:pPr>
        <w:pStyle w:val="Listparagraf"/>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125BE48D" w14:textId="1D029C5E" w:rsidR="008D55CA" w:rsidRPr="00311EF8" w:rsidRDefault="0099349E" w:rsidP="007A5CCB">
      <w:pPr>
        <w:spacing w:before="60"/>
        <w:ind w:left="133" w:right="105"/>
        <w:jc w:val="both"/>
        <w:rPr>
          <w:rFonts w:asciiTheme="minorHAnsi" w:hAnsiTheme="minorHAnsi" w:cstheme="minorHAnsi"/>
          <w:color w:val="002060"/>
          <w:sz w:val="24"/>
          <w:szCs w:val="24"/>
          <w:lang w:val="ro-RO"/>
        </w:rPr>
        <w:sectPr w:rsidR="008D55CA" w:rsidRPr="00311EF8" w:rsidSect="004F349A">
          <w:pgSz w:w="12240" w:h="15840"/>
          <w:pgMar w:top="960" w:right="758" w:bottom="280" w:left="1720" w:header="0" w:footer="583" w:gutter="0"/>
          <w:cols w:space="720"/>
        </w:sect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C53FE0" w:rsidRPr="00311EF8">
        <w:rPr>
          <w:rFonts w:asciiTheme="minorHAnsi" w:eastAsia="Trebuchet MS" w:hAnsiTheme="minorHAnsi" w:cstheme="minorHAnsi"/>
          <w:color w:val="002060"/>
          <w:w w:val="103"/>
          <w:sz w:val="24"/>
          <w:szCs w:val="24"/>
          <w:lang w:val="ro-RO"/>
        </w:rPr>
        <w:t>.</w:t>
      </w:r>
    </w:p>
    <w:p w14:paraId="1FB0BB8E" w14:textId="460DCE4D" w:rsidR="00794FBB" w:rsidRPr="00311EF8" w:rsidRDefault="00AE69E4" w:rsidP="007A5CCB">
      <w:pPr>
        <w:spacing w:before="60"/>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 xml:space="preserve">Monitorizare </w:t>
      </w:r>
      <w:proofErr w:type="spellStart"/>
      <w:r w:rsidR="00794FBB" w:rsidRPr="00311EF8">
        <w:rPr>
          <w:rFonts w:asciiTheme="minorHAnsi" w:hAnsiTheme="minorHAnsi" w:cstheme="minorHAnsi"/>
          <w:b/>
          <w:bCs/>
          <w:color w:val="002060"/>
          <w:sz w:val="24"/>
          <w:szCs w:val="24"/>
          <w:lang w:val="ro-RO"/>
        </w:rPr>
        <w:t>şi</w:t>
      </w:r>
      <w:proofErr w:type="spellEnd"/>
      <w:r w:rsidR="00794FBB" w:rsidRPr="00311EF8">
        <w:rPr>
          <w:rFonts w:asciiTheme="minorHAnsi" w:hAnsiTheme="minorHAnsi" w:cstheme="minorHAnsi"/>
          <w:b/>
          <w:bCs/>
          <w:color w:val="002060"/>
          <w:sz w:val="24"/>
          <w:szCs w:val="24"/>
          <w:lang w:val="ro-RO"/>
        </w:rPr>
        <w:t xml:space="preserve"> raportare</w:t>
      </w:r>
    </w:p>
    <w:p w14:paraId="43F140E0" w14:textId="5B90ECC7" w:rsidR="003D7FC0" w:rsidRPr="00311EF8" w:rsidRDefault="00AA06B0" w:rsidP="007A5CCB">
      <w:pPr>
        <w:pStyle w:val="Listparagraf"/>
        <w:numPr>
          <w:ilvl w:val="0"/>
          <w:numId w:val="7"/>
        </w:numPr>
        <w:spacing w:before="60"/>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7A5CCB">
      <w:pPr>
        <w:pStyle w:val="Listparagraf"/>
        <w:numPr>
          <w:ilvl w:val="0"/>
          <w:numId w:val="7"/>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7A5CCB">
      <w:pPr>
        <w:spacing w:before="60"/>
        <w:ind w:left="75"/>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311EF8" w:rsidRDefault="00DE4BF1" w:rsidP="007A5CCB">
      <w:pPr>
        <w:spacing w:before="60"/>
        <w:ind w:right="11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311EF8" w:rsidRDefault="0057368E" w:rsidP="007A5CCB">
      <w:pPr>
        <w:spacing w:before="60"/>
        <w:jc w:val="both"/>
        <w:rPr>
          <w:rFonts w:asciiTheme="minorHAnsi" w:eastAsia="Trebuchet MS" w:hAnsiTheme="minorHAnsi" w:cstheme="minorHAnsi"/>
          <w:color w:val="002060"/>
          <w:sz w:val="24"/>
          <w:szCs w:val="24"/>
          <w:lang w:val="ro-RO"/>
        </w:rPr>
      </w:pPr>
    </w:p>
    <w:p w14:paraId="0169A90E" w14:textId="757BAB2D" w:rsidR="005F401B" w:rsidRPr="00311EF8" w:rsidRDefault="001672E7" w:rsidP="007A5CCB">
      <w:pPr>
        <w:spacing w:before="60"/>
        <w:jc w:val="both"/>
        <w:rPr>
          <w:rFonts w:asciiTheme="minorHAnsi" w:eastAsia="Trebuchet MS" w:hAnsiTheme="minorHAnsi" w:cstheme="minorHAnsi"/>
          <w:b/>
          <w:bCs/>
          <w:color w:val="002060"/>
          <w:sz w:val="24"/>
          <w:szCs w:val="24"/>
          <w:lang w:val="ro-RO"/>
        </w:rPr>
      </w:pPr>
      <w:proofErr w:type="spellStart"/>
      <w:r w:rsidRPr="00311EF8">
        <w:rPr>
          <w:rFonts w:asciiTheme="minorHAnsi" w:eastAsia="Trebuchet MS" w:hAnsiTheme="minorHAnsi" w:cstheme="minorHAnsi"/>
          <w:b/>
          <w:bCs/>
          <w:color w:val="002060"/>
          <w:sz w:val="24"/>
          <w:szCs w:val="24"/>
          <w:lang w:val="ro-RO"/>
        </w:rPr>
        <w:t>Art</w:t>
      </w:r>
      <w:proofErr w:type="spellEnd"/>
      <w:r w:rsidRPr="00311EF8">
        <w:rPr>
          <w:rFonts w:asciiTheme="minorHAnsi" w:eastAsia="Trebuchet MS" w:hAnsiTheme="minorHAnsi" w:cstheme="minorHAnsi"/>
          <w:b/>
          <w:bCs/>
          <w:color w:val="002060"/>
          <w:sz w:val="24"/>
          <w:szCs w:val="24"/>
          <w:lang w:val="ro-RO"/>
        </w:rPr>
        <w:t xml:space="preserve"> </w:t>
      </w:r>
      <w:r w:rsidR="00311EF8">
        <w:rPr>
          <w:rFonts w:asciiTheme="minorHAnsi" w:eastAsia="Trebuchet MS" w:hAnsiTheme="minorHAnsi" w:cstheme="minorHAnsi"/>
          <w:b/>
          <w:bCs/>
          <w:color w:val="002060"/>
          <w:sz w:val="24"/>
          <w:szCs w:val="24"/>
          <w:lang w:val="ro-RO"/>
        </w:rPr>
        <w:t>7</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7A5CCB">
      <w:pPr>
        <w:pStyle w:val="Listparagraf"/>
        <w:numPr>
          <w:ilvl w:val="0"/>
          <w:numId w:val="11"/>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7A5CCB">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311EF8">
      <w:pPr>
        <w:pStyle w:val="Listparagraf"/>
        <w:numPr>
          <w:ilvl w:val="0"/>
          <w:numId w:val="17"/>
        </w:numPr>
        <w:spacing w:before="60"/>
        <w:ind w:right="100"/>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311EF8">
      <w:pPr>
        <w:pStyle w:val="Listparagraf"/>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311EF8">
      <w:pPr>
        <w:pStyle w:val="Listparagraf"/>
        <w:numPr>
          <w:ilvl w:val="0"/>
          <w:numId w:val="17"/>
        </w:numPr>
        <w:spacing w:before="60"/>
        <w:ind w:right="103"/>
        <w:jc w:val="both"/>
        <w:rPr>
          <w:rFonts w:asciiTheme="minorHAnsi" w:hAnsiTheme="minorHAnsi" w:cstheme="minorHAnsi"/>
          <w:color w:val="002060"/>
          <w:sz w:val="24"/>
          <w:szCs w:val="24"/>
          <w:lang w:val="ro-RO"/>
        </w:rPr>
      </w:pPr>
      <w:proofErr w:type="spellStart"/>
      <w:r w:rsidRPr="00311EF8">
        <w:rPr>
          <w:rFonts w:asciiTheme="minorHAnsi" w:eastAsia="Trebuchet MS" w:hAnsiTheme="minorHAnsi" w:cstheme="minorHAnsi"/>
          <w:color w:val="002060"/>
          <w:sz w:val="24"/>
          <w:szCs w:val="24"/>
          <w:lang w:val="ro-RO"/>
        </w:rPr>
        <w:t>Toţi</w:t>
      </w:r>
      <w:proofErr w:type="spellEnd"/>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proofErr w:type="spellStart"/>
      <w:r w:rsidRPr="00311EF8">
        <w:rPr>
          <w:rFonts w:asciiTheme="minorHAnsi" w:eastAsia="Trebuchet MS" w:hAnsiTheme="minorHAnsi" w:cstheme="minorHAnsi"/>
          <w:color w:val="002060"/>
          <w:sz w:val="24"/>
          <w:szCs w:val="24"/>
          <w:lang w:val="ro-RO"/>
        </w:rPr>
        <w:t>obligaţi</w:t>
      </w:r>
      <w:proofErr w:type="spellEnd"/>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311EF8">
      <w:pPr>
        <w:pStyle w:val="Listparagraf"/>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70939D4D" w:rsidR="009C7C7B" w:rsidRPr="00311EF8" w:rsidRDefault="009C7C7B" w:rsidP="00311EF8">
      <w:pPr>
        <w:pStyle w:val="Listparagraf"/>
        <w:numPr>
          <w:ilvl w:val="0"/>
          <w:numId w:val="17"/>
        </w:numPr>
        <w:spacing w:before="60"/>
        <w:ind w:right="105"/>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Pr="00311EF8">
        <w:rPr>
          <w:rFonts w:asciiTheme="minorHAnsi" w:eastAsia="Trebuchet MS" w:hAnsiTheme="minorHAnsi" w:cstheme="minorHAnsi"/>
          <w:i/>
          <w:color w:val="002060"/>
          <w:spacing w:val="-1"/>
          <w:sz w:val="24"/>
          <w:szCs w:val="24"/>
          <w:lang w:val="ro-RO"/>
        </w:rPr>
        <w:t>4</w:t>
      </w:r>
      <w:r w:rsidR="00A73DD9" w:rsidRPr="00311EF8">
        <w:rPr>
          <w:rFonts w:asciiTheme="minorHAnsi" w:eastAsia="Trebuchet MS" w:hAnsiTheme="minorHAnsi" w:cstheme="minorHAnsi"/>
          <w:i/>
          <w:color w:val="002060"/>
          <w:spacing w:val="-1"/>
          <w:sz w:val="24"/>
          <w:szCs w:val="24"/>
          <w:lang w:val="ro-RO"/>
        </w:rPr>
        <w:t xml:space="preserve"> </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7A5CCB">
      <w:pPr>
        <w:pStyle w:val="Default"/>
        <w:spacing w:before="60"/>
        <w:ind w:left="75"/>
        <w:jc w:val="both"/>
        <w:rPr>
          <w:rFonts w:asciiTheme="minorHAnsi" w:eastAsia="Trebuchet MS" w:hAnsiTheme="minorHAnsi" w:cstheme="minorHAnsi"/>
          <w:b/>
          <w:bCs/>
          <w:color w:val="002060"/>
          <w:lang w:val="ro-RO"/>
        </w:rPr>
      </w:pPr>
      <w:proofErr w:type="spellStart"/>
      <w:r w:rsidRPr="00311EF8">
        <w:rPr>
          <w:rFonts w:asciiTheme="minorHAnsi" w:eastAsia="Trebuchet MS" w:hAnsiTheme="minorHAnsi" w:cstheme="minorHAnsi"/>
          <w:b/>
          <w:bCs/>
          <w:color w:val="002060"/>
          <w:lang w:val="ro-RO"/>
        </w:rPr>
        <w:t>Art</w:t>
      </w:r>
      <w:proofErr w:type="spellEnd"/>
      <w:r w:rsidRPr="00311EF8">
        <w:rPr>
          <w:rFonts w:asciiTheme="minorHAnsi" w:eastAsia="Trebuchet MS" w:hAnsiTheme="minorHAnsi" w:cstheme="minorHAnsi"/>
          <w:b/>
          <w:bCs/>
          <w:color w:val="002060"/>
          <w:lang w:val="ro-RO"/>
        </w:rPr>
        <w:t xml:space="preserve">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7A5CCB">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7A5CCB">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4F349A">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6E889" w14:textId="77777777" w:rsidR="00C83AE6" w:rsidRDefault="00C83AE6">
      <w:r>
        <w:separator/>
      </w:r>
    </w:p>
  </w:endnote>
  <w:endnote w:type="continuationSeparator" w:id="0">
    <w:p w14:paraId="0D0166AA" w14:textId="77777777" w:rsidR="00C83AE6" w:rsidRDefault="00C8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0FDE" w14:textId="77777777" w:rsidR="00C83AE6" w:rsidRDefault="00C83AE6">
      <w:r>
        <w:separator/>
      </w:r>
    </w:p>
  </w:footnote>
  <w:footnote w:type="continuationSeparator" w:id="0">
    <w:p w14:paraId="7AEE1D1C" w14:textId="77777777" w:rsidR="00C83AE6" w:rsidRDefault="00C83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Antet"/>
    </w:pPr>
    <w:r>
      <w:rPr>
        <w:noProof/>
      </w:rPr>
      <w:drawing>
        <wp:inline distT="0" distB="0" distL="0" distR="0" wp14:anchorId="27B318EC" wp14:editId="1CCFCDEF">
          <wp:extent cx="4285615" cy="701040"/>
          <wp:effectExtent l="0" t="0" r="0" b="3810"/>
          <wp:docPr id="283110598" name="Picture 28311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2174"/>
    <w:rsid w:val="00206613"/>
    <w:rsid w:val="00225DC4"/>
    <w:rsid w:val="002450D7"/>
    <w:rsid w:val="002472DB"/>
    <w:rsid w:val="00256FA9"/>
    <w:rsid w:val="00262572"/>
    <w:rsid w:val="002734FD"/>
    <w:rsid w:val="002869D7"/>
    <w:rsid w:val="00292FBA"/>
    <w:rsid w:val="002A4756"/>
    <w:rsid w:val="002A5B53"/>
    <w:rsid w:val="002C52AE"/>
    <w:rsid w:val="002D5BDE"/>
    <w:rsid w:val="002E4D36"/>
    <w:rsid w:val="002F0A3D"/>
    <w:rsid w:val="003108C6"/>
    <w:rsid w:val="00311EF8"/>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7411"/>
    <w:rsid w:val="00644A92"/>
    <w:rsid w:val="00651FEA"/>
    <w:rsid w:val="00666085"/>
    <w:rsid w:val="00666245"/>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EE7"/>
    <w:rsid w:val="00827FC0"/>
    <w:rsid w:val="008330C6"/>
    <w:rsid w:val="0084160F"/>
    <w:rsid w:val="00846491"/>
    <w:rsid w:val="00852A17"/>
    <w:rsid w:val="00853918"/>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63EA"/>
    <w:rsid w:val="00E8732B"/>
    <w:rsid w:val="00E87CAE"/>
    <w:rsid w:val="00E91BA0"/>
    <w:rsid w:val="00E971AD"/>
    <w:rsid w:val="00E97213"/>
    <w:rsid w:val="00EB00C2"/>
    <w:rsid w:val="00EC112B"/>
    <w:rsid w:val="00EE2009"/>
    <w:rsid w:val="00EE461D"/>
    <w:rsid w:val="00EE66B2"/>
    <w:rsid w:val="00EE6889"/>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TextnBalon">
    <w:name w:val="Balloon Text"/>
    <w:basedOn w:val="Normal"/>
    <w:link w:val="TextnBalonCaracter"/>
    <w:uiPriority w:val="99"/>
    <w:semiHidden/>
    <w:unhideWhenUsed/>
    <w:rsid w:val="003D09B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09B4"/>
    <w:rPr>
      <w:rFonts w:ascii="Segoe UI" w:hAnsi="Segoe UI" w:cs="Segoe UI"/>
      <w:sz w:val="18"/>
      <w:szCs w:val="18"/>
    </w:rPr>
  </w:style>
  <w:style w:type="paragraph" w:styleId="Antet">
    <w:name w:val="header"/>
    <w:basedOn w:val="Normal"/>
    <w:link w:val="AntetCaracter"/>
    <w:uiPriority w:val="99"/>
    <w:unhideWhenUsed/>
    <w:rsid w:val="00BA4582"/>
    <w:pPr>
      <w:tabs>
        <w:tab w:val="center" w:pos="4680"/>
        <w:tab w:val="right" w:pos="9360"/>
      </w:tabs>
    </w:pPr>
  </w:style>
  <w:style w:type="character" w:customStyle="1" w:styleId="AntetCaracter">
    <w:name w:val="Antet Caracter"/>
    <w:basedOn w:val="Fontdeparagrafimplicit"/>
    <w:link w:val="Antet"/>
    <w:uiPriority w:val="99"/>
    <w:rsid w:val="00BA4582"/>
  </w:style>
  <w:style w:type="paragraph" w:styleId="Subsol">
    <w:name w:val="footer"/>
    <w:basedOn w:val="Normal"/>
    <w:link w:val="SubsolCaracter"/>
    <w:uiPriority w:val="99"/>
    <w:unhideWhenUsed/>
    <w:rsid w:val="00BA4582"/>
    <w:pPr>
      <w:tabs>
        <w:tab w:val="center" w:pos="4680"/>
        <w:tab w:val="right" w:pos="9360"/>
      </w:tabs>
    </w:pPr>
  </w:style>
  <w:style w:type="character" w:customStyle="1" w:styleId="SubsolCaracter">
    <w:name w:val="Subsol Caracter"/>
    <w:basedOn w:val="Fontdeparagrafimplicit"/>
    <w:link w:val="Subsol"/>
    <w:uiPriority w:val="99"/>
    <w:rsid w:val="00BA4582"/>
  </w:style>
  <w:style w:type="paragraph" w:styleId="Listparagraf">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Textnotdesubsol">
    <w:name w:val="footnote text"/>
    <w:basedOn w:val="Normal"/>
    <w:link w:val="TextnotdesubsolCaracter"/>
    <w:uiPriority w:val="99"/>
    <w:semiHidden/>
    <w:unhideWhenUsed/>
    <w:rsid w:val="00AB13EF"/>
  </w:style>
  <w:style w:type="character" w:customStyle="1" w:styleId="TextnotdesubsolCaracter">
    <w:name w:val="Text notă de subsol Caracter"/>
    <w:basedOn w:val="Fontdeparagrafimplicit"/>
    <w:link w:val="Textnotdesubsol"/>
    <w:uiPriority w:val="99"/>
    <w:semiHidden/>
    <w:rsid w:val="00AB13EF"/>
  </w:style>
  <w:style w:type="character" w:styleId="Referinnotdesubsol">
    <w:name w:val="footnote reference"/>
    <w:basedOn w:val="Fontdeparagrafimplicit"/>
    <w:uiPriority w:val="99"/>
    <w:semiHidden/>
    <w:unhideWhenUsed/>
    <w:rsid w:val="00AB13EF"/>
    <w:rPr>
      <w:vertAlign w:val="superscript"/>
    </w:rPr>
  </w:style>
  <w:style w:type="paragraph" w:styleId="Revizuire">
    <w:name w:val="Revision"/>
    <w:hidden/>
    <w:uiPriority w:val="99"/>
    <w:semiHidden/>
    <w:rsid w:val="003D3238"/>
  </w:style>
  <w:style w:type="character" w:styleId="Referincomentariu">
    <w:name w:val="annotation reference"/>
    <w:basedOn w:val="Fontdeparagrafimplicit"/>
    <w:uiPriority w:val="99"/>
    <w:semiHidden/>
    <w:unhideWhenUsed/>
    <w:rsid w:val="00CA2E96"/>
    <w:rPr>
      <w:sz w:val="16"/>
      <w:szCs w:val="16"/>
    </w:rPr>
  </w:style>
  <w:style w:type="paragraph" w:styleId="Textcomentariu">
    <w:name w:val="annotation text"/>
    <w:basedOn w:val="Normal"/>
    <w:link w:val="TextcomentariuCaracter"/>
    <w:uiPriority w:val="99"/>
    <w:unhideWhenUsed/>
    <w:rsid w:val="00CA2E96"/>
  </w:style>
  <w:style w:type="character" w:customStyle="1" w:styleId="TextcomentariuCaracter">
    <w:name w:val="Text comentariu Caracter"/>
    <w:basedOn w:val="Fontdeparagrafimplicit"/>
    <w:link w:val="Textcomentariu"/>
    <w:uiPriority w:val="99"/>
    <w:rsid w:val="00CA2E96"/>
  </w:style>
  <w:style w:type="paragraph" w:styleId="SubiectComentariu">
    <w:name w:val="annotation subject"/>
    <w:basedOn w:val="Textcomentariu"/>
    <w:next w:val="Textcomentariu"/>
    <w:link w:val="SubiectComentariuCaracter"/>
    <w:uiPriority w:val="99"/>
    <w:semiHidden/>
    <w:unhideWhenUsed/>
    <w:rsid w:val="00CA2E96"/>
    <w:rPr>
      <w:b/>
      <w:bCs/>
    </w:rPr>
  </w:style>
  <w:style w:type="character" w:customStyle="1" w:styleId="SubiectComentariuCaracter">
    <w:name w:val="Subiect Comentariu Caracter"/>
    <w:basedOn w:val="TextcomentariuCaracter"/>
    <w:link w:val="SubiectComentariu"/>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6240</Words>
  <Characters>35569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2023-08-02T11:33:00Z</dcterms:created>
  <dcterms:modified xsi:type="dcterms:W3CDTF">2023-09-28T12:27:00Z</dcterms:modified>
</cp:coreProperties>
</file>